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БАГАРЯКСКОГО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800617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800617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6e-5mm;mso-wrap-distance-bottom:-6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F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1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F5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53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CF53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46</w:t>
            </w:r>
            <w:r w:rsidR="00F531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агаряк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</w:t>
            </w:r>
            <w:proofErr w:type="gramStart"/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Багарякского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5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proofErr w:type="gramStart"/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34483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Багарякского сельского поселения</w:t>
      </w:r>
    </w:p>
    <w:p w:rsidR="00C17302" w:rsidRPr="00934483" w:rsidRDefault="00CF535B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ПОСТАНОВЛЯЕТ</w:t>
      </w:r>
      <w:r w:rsidR="00C17302" w:rsidRPr="00934483">
        <w:rPr>
          <w:rStyle w:val="23"/>
          <w:sz w:val="24"/>
          <w:szCs w:val="24"/>
        </w:rPr>
        <w:t>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7871BE" w:rsidRPr="00934483">
        <w:rPr>
          <w:sz w:val="24"/>
          <w:szCs w:val="24"/>
        </w:rPr>
        <w:t>Багарякского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F5310B">
        <w:rPr>
          <w:sz w:val="24"/>
          <w:szCs w:val="24"/>
        </w:rPr>
        <w:t>4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Разместить Программу</w:t>
      </w:r>
      <w:proofErr w:type="gramEnd"/>
      <w:r w:rsidRPr="00934483">
        <w:rPr>
          <w:sz w:val="24"/>
          <w:szCs w:val="24"/>
        </w:rPr>
        <w:t xml:space="preserve"> на официальном сайте </w:t>
      </w:r>
      <w:r w:rsidR="007871BE" w:rsidRPr="00934483">
        <w:rPr>
          <w:sz w:val="24"/>
          <w:szCs w:val="24"/>
        </w:rPr>
        <w:t>Багарякского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Контроль за</w:t>
      </w:r>
      <w:proofErr w:type="gramEnd"/>
      <w:r w:rsidRPr="00934483">
        <w:rPr>
          <w:sz w:val="24"/>
          <w:szCs w:val="24"/>
        </w:rPr>
        <w:t xml:space="preserve">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7871BE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 w:rsidRPr="00934483">
        <w:rPr>
          <w:sz w:val="24"/>
          <w:szCs w:val="24"/>
        </w:rPr>
        <w:t>Багарякского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 w:rsidRPr="00934483">
        <w:rPr>
          <w:sz w:val="24"/>
          <w:szCs w:val="24"/>
        </w:rPr>
        <w:t>А.А. Чернышков</w:t>
      </w:r>
      <w:r w:rsidR="005D124B" w:rsidRPr="00934483">
        <w:rPr>
          <w:sz w:val="24"/>
          <w:szCs w:val="24"/>
        </w:rPr>
        <w:t xml:space="preserve"> 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530921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Багарякского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 xml:space="preserve">т </w:t>
      </w:r>
      <w:r w:rsidR="00CF535B">
        <w:rPr>
          <w:rFonts w:ascii="Times New Roman" w:hAnsi="Times New Roman" w:cs="Times New Roman"/>
          <w:sz w:val="24"/>
          <w:szCs w:val="24"/>
        </w:rPr>
        <w:t>26</w:t>
      </w:r>
      <w:r w:rsidR="00690142">
        <w:rPr>
          <w:rFonts w:ascii="Times New Roman" w:hAnsi="Times New Roman" w:cs="Times New Roman"/>
          <w:sz w:val="24"/>
          <w:szCs w:val="24"/>
        </w:rPr>
        <w:t>.12.2023</w:t>
      </w:r>
      <w:r w:rsidRPr="00BD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D39">
        <w:rPr>
          <w:rFonts w:ascii="Times New Roman" w:hAnsi="Times New Roman" w:cs="Times New Roman"/>
          <w:sz w:val="24"/>
          <w:szCs w:val="24"/>
        </w:rPr>
        <w:t>г.</w:t>
      </w:r>
      <w:r w:rsidRPr="00BD4CA7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CF535B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530921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69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Багарякского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69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69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30921">
              <w:rPr>
                <w:rFonts w:ascii="Times New Roman" w:hAnsi="Times New Roman" w:cs="Times New Roman"/>
                <w:sz w:val="24"/>
                <w:szCs w:val="24"/>
              </w:rPr>
              <w:t>Багарякского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E71221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C0802">
              <w:rPr>
                <w:rFonts w:ascii="Times New Roman" w:hAnsi="Times New Roman" w:cs="Times New Roman"/>
                <w:sz w:val="24"/>
                <w:szCs w:val="24"/>
              </w:rPr>
              <w:t>Багарякского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AF5E1C">
              <w:t>видео-конференц-связи</w:t>
            </w:r>
            <w:proofErr w:type="spellEnd"/>
            <w:r w:rsidRPr="00AF5E1C">
              <w:t>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принять меры по обеспечению соблюдения обязательных требований.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>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690142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CF535B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  <w:bookmarkStart w:id="0" w:name="_GoBack"/>
            <w:bookmarkEnd w:id="0"/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</w:t>
            </w:r>
            <w:r w:rsidR="008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убъектов к добросовестному посел</w:t>
            </w: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осуществляется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="0041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</w:t>
      </w:r>
      <w:proofErr w:type="gramStart"/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DA13FC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934483">
        <w:rPr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934483">
        <w:rPr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  <w:proofErr w:type="gramEnd"/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F2" w:rsidRDefault="00BF6EF2" w:rsidP="00BD4CA7">
      <w:pPr>
        <w:spacing w:after="0" w:line="240" w:lineRule="auto"/>
      </w:pPr>
      <w:r>
        <w:separator/>
      </w:r>
    </w:p>
  </w:endnote>
  <w:endnote w:type="continuationSeparator" w:id="0">
    <w:p w:rsidR="00BF6EF2" w:rsidRDefault="00BF6EF2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F2" w:rsidRDefault="00BF6EF2" w:rsidP="00BD4CA7">
      <w:pPr>
        <w:spacing w:after="0" w:line="240" w:lineRule="auto"/>
      </w:pPr>
      <w:r>
        <w:separator/>
      </w:r>
    </w:p>
  </w:footnote>
  <w:footnote w:type="continuationSeparator" w:id="0">
    <w:p w:rsidR="00BF6EF2" w:rsidRDefault="00BF6EF2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493D"/>
    <w:rsid w:val="000068C9"/>
    <w:rsid w:val="000315F3"/>
    <w:rsid w:val="000A1F6D"/>
    <w:rsid w:val="000D6C59"/>
    <w:rsid w:val="000E5D2F"/>
    <w:rsid w:val="00104A60"/>
    <w:rsid w:val="0011671E"/>
    <w:rsid w:val="0013578A"/>
    <w:rsid w:val="00194D50"/>
    <w:rsid w:val="00202DC1"/>
    <w:rsid w:val="0023230B"/>
    <w:rsid w:val="00297C1C"/>
    <w:rsid w:val="0030167B"/>
    <w:rsid w:val="00355170"/>
    <w:rsid w:val="003B35CE"/>
    <w:rsid w:val="003B4535"/>
    <w:rsid w:val="00410A52"/>
    <w:rsid w:val="00422595"/>
    <w:rsid w:val="0043174F"/>
    <w:rsid w:val="00463F96"/>
    <w:rsid w:val="00482061"/>
    <w:rsid w:val="004C38F0"/>
    <w:rsid w:val="00530921"/>
    <w:rsid w:val="005466DF"/>
    <w:rsid w:val="00546977"/>
    <w:rsid w:val="00561166"/>
    <w:rsid w:val="00564B52"/>
    <w:rsid w:val="005C21F1"/>
    <w:rsid w:val="005D124B"/>
    <w:rsid w:val="005D19B6"/>
    <w:rsid w:val="0066375D"/>
    <w:rsid w:val="00690142"/>
    <w:rsid w:val="00696AC0"/>
    <w:rsid w:val="006B7ED3"/>
    <w:rsid w:val="006C44FE"/>
    <w:rsid w:val="00704107"/>
    <w:rsid w:val="00713682"/>
    <w:rsid w:val="00737E2B"/>
    <w:rsid w:val="00764D88"/>
    <w:rsid w:val="007871BE"/>
    <w:rsid w:val="00800617"/>
    <w:rsid w:val="00804955"/>
    <w:rsid w:val="008362E5"/>
    <w:rsid w:val="00881854"/>
    <w:rsid w:val="008D6FA5"/>
    <w:rsid w:val="008E72CB"/>
    <w:rsid w:val="00923982"/>
    <w:rsid w:val="00924E26"/>
    <w:rsid w:val="00931587"/>
    <w:rsid w:val="00934483"/>
    <w:rsid w:val="00980AE6"/>
    <w:rsid w:val="00A90911"/>
    <w:rsid w:val="00A93A4C"/>
    <w:rsid w:val="00A97AFC"/>
    <w:rsid w:val="00AD2467"/>
    <w:rsid w:val="00B406E2"/>
    <w:rsid w:val="00B8606D"/>
    <w:rsid w:val="00B95D33"/>
    <w:rsid w:val="00BD4CA7"/>
    <w:rsid w:val="00BF1C1E"/>
    <w:rsid w:val="00BF6EF2"/>
    <w:rsid w:val="00C15F8F"/>
    <w:rsid w:val="00C17302"/>
    <w:rsid w:val="00C975D2"/>
    <w:rsid w:val="00C97C07"/>
    <w:rsid w:val="00CA56C8"/>
    <w:rsid w:val="00CC0802"/>
    <w:rsid w:val="00CF535B"/>
    <w:rsid w:val="00CF54DF"/>
    <w:rsid w:val="00D01D39"/>
    <w:rsid w:val="00DA13FC"/>
    <w:rsid w:val="00DA18FD"/>
    <w:rsid w:val="00E128D4"/>
    <w:rsid w:val="00E168D0"/>
    <w:rsid w:val="00E206D3"/>
    <w:rsid w:val="00E47BAE"/>
    <w:rsid w:val="00E54EEB"/>
    <w:rsid w:val="00E71221"/>
    <w:rsid w:val="00EE3F35"/>
    <w:rsid w:val="00EF74B3"/>
    <w:rsid w:val="00F5310B"/>
    <w:rsid w:val="00F53A8C"/>
    <w:rsid w:val="00F65F53"/>
    <w:rsid w:val="00F743E5"/>
    <w:rsid w:val="00FA7677"/>
    <w:rsid w:val="00F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C6A2-67E3-4544-8B37-47FDEE3C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2023-12-27T10:05:00Z</cp:lastPrinted>
  <dcterms:created xsi:type="dcterms:W3CDTF">2023-12-27T10:51:00Z</dcterms:created>
  <dcterms:modified xsi:type="dcterms:W3CDTF">2023-12-27T10:51:00Z</dcterms:modified>
</cp:coreProperties>
</file>